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08F" w:rsidRPr="00EC3F9C" w:rsidRDefault="00243AA5" w:rsidP="00856F7C">
      <w:pPr>
        <w:rPr>
          <w:rFonts w:ascii="TitilliumMaps29L 400 wt" w:eastAsia="Arial" w:hAnsi="TitilliumMaps29L 400 wt" w:cs="Arial"/>
          <w:b/>
          <w:color w:val="000000"/>
          <w:sz w:val="32"/>
          <w:szCs w:val="32"/>
        </w:rPr>
      </w:pPr>
      <w:r w:rsidRPr="00EC3F9C">
        <w:rPr>
          <w:rFonts w:ascii="TitilliumMaps29L 400 wt" w:eastAsia="Arial" w:hAnsi="TitilliumMaps29L 400 wt" w:cs="Arial"/>
          <w:b/>
          <w:color w:val="000000"/>
          <w:sz w:val="32"/>
          <w:szCs w:val="32"/>
        </w:rPr>
        <w:t>Profesor</w:t>
      </w:r>
      <w:r w:rsidRPr="00EC3F9C">
        <w:rPr>
          <w:rFonts w:ascii="TitilliumMaps29L 400 wt" w:eastAsia="Arial" w:hAnsi="TitilliumMaps29L 400 wt" w:cs="Arial"/>
          <w:sz w:val="32"/>
          <w:szCs w:val="32"/>
        </w:rPr>
        <w:t xml:space="preserve"> </w:t>
      </w:r>
      <w:r w:rsidRPr="00EC3F9C">
        <w:rPr>
          <w:rFonts w:ascii="TitilliumMaps29L 400 wt" w:eastAsia="Arial" w:hAnsi="TitilliumMaps29L 400 wt" w:cs="Arial"/>
          <w:b/>
          <w:color w:val="000000"/>
          <w:sz w:val="32"/>
          <w:szCs w:val="32"/>
        </w:rPr>
        <w:t>Nico Carpentier byl zvolen předsedou nej</w:t>
      </w:r>
      <w:r w:rsidRPr="00EC3F9C">
        <w:rPr>
          <w:rFonts w:ascii="TitilliumMaps29L 400 wt" w:eastAsia="Arial" w:hAnsi="TitilliumMaps29L 400 wt" w:cs="Arial"/>
          <w:b/>
          <w:sz w:val="32"/>
          <w:szCs w:val="32"/>
        </w:rPr>
        <w:t>globálnější</w:t>
      </w:r>
      <w:r w:rsidRPr="00EC3F9C">
        <w:rPr>
          <w:rFonts w:ascii="TitilliumMaps29L 400 wt" w:eastAsia="Arial" w:hAnsi="TitilliumMaps29L 400 wt" w:cs="Arial"/>
          <w:b/>
          <w:color w:val="000000"/>
          <w:sz w:val="32"/>
          <w:szCs w:val="32"/>
        </w:rPr>
        <w:t xml:space="preserve"> světové asociace pro výzkum médií a komunikace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  <w:b/>
        </w:rPr>
      </w:pPr>
      <w:r w:rsidRPr="00EC3F9C">
        <w:rPr>
          <w:rFonts w:ascii="TitilliumMaps29L 400 wt" w:eastAsia="Arial" w:hAnsi="TitilliumMaps29L 400 wt" w:cs="Arial"/>
          <w:b/>
        </w:rPr>
        <w:t xml:space="preserve">3. června 2020, Praha – </w:t>
      </w:r>
      <w:r w:rsidRPr="00EC3F9C">
        <w:rPr>
          <w:rFonts w:ascii="TitilliumMaps29L 400 wt" w:eastAsia="Arial" w:hAnsi="TitilliumMaps29L 400 wt" w:cs="Arial"/>
          <w:b/>
          <w:highlight w:val="white"/>
        </w:rPr>
        <w:t>Novým předsedou Mezinárodní asociace pro výzkum médií a komunikace (IAMCR) byl zvolen Nico Carpentier z</w:t>
      </w:r>
      <w:r w:rsidRPr="00EC3F9C">
        <w:rPr>
          <w:rFonts w:ascii="Cambria" w:eastAsia="Arial" w:hAnsi="Cambria" w:cs="Cambria"/>
          <w:b/>
          <w:highlight w:val="white"/>
        </w:rPr>
        <w:t> </w:t>
      </w:r>
      <w:r w:rsidRPr="00EC3F9C">
        <w:rPr>
          <w:rFonts w:ascii="TitilliumMaps29L 400 wt" w:eastAsia="Arial" w:hAnsi="TitilliumMaps29L 400 wt" w:cs="Arial"/>
          <w:b/>
          <w:highlight w:val="white"/>
        </w:rPr>
        <w:t>Institutu komunikačních studií a žurnalistiky Fakulty sociálních věd Univerzity Karlovy. Klíčovou výzkumnou asociaci tak poprvé v</w:t>
      </w:r>
      <w:r w:rsidRPr="00EC3F9C">
        <w:rPr>
          <w:rFonts w:ascii="Cambria" w:eastAsia="Arial" w:hAnsi="Cambria" w:cs="Cambria"/>
          <w:b/>
          <w:highlight w:val="white"/>
        </w:rPr>
        <w:t> </w:t>
      </w:r>
      <w:r w:rsidRPr="00EC3F9C">
        <w:rPr>
          <w:rFonts w:ascii="TitilliumMaps29L 400 wt" w:eastAsia="Arial" w:hAnsi="TitilliumMaps29L 400 wt" w:cs="Arial"/>
          <w:b/>
          <w:highlight w:val="white"/>
        </w:rPr>
        <w:t>její více než šedesáti</w:t>
      </w:r>
      <w:r w:rsidRPr="00EC3F9C">
        <w:rPr>
          <w:rFonts w:ascii="TitilliumMaps29L 400 wt" w:eastAsia="Arial" w:hAnsi="TitilliumMaps29L 400 wt" w:cs="Arial"/>
          <w:b/>
          <w:highlight w:val="white"/>
        </w:rPr>
        <w:t xml:space="preserve">leté historii povede osobnost </w:t>
      </w:r>
      <w:r w:rsidRPr="00EC3F9C">
        <w:rPr>
          <w:rFonts w:ascii="TitilliumMaps29L 400 wt" w:eastAsia="Arial" w:hAnsi="TitilliumMaps29L 400 wt" w:cs="Arial"/>
          <w:b/>
        </w:rPr>
        <w:t>z</w:t>
      </w:r>
      <w:r w:rsidRPr="00EC3F9C">
        <w:rPr>
          <w:rFonts w:ascii="Cambria" w:eastAsia="Arial" w:hAnsi="Cambria" w:cs="Cambria"/>
          <w:b/>
        </w:rPr>
        <w:t> </w:t>
      </w:r>
      <w:r w:rsidRPr="00EC3F9C">
        <w:rPr>
          <w:rFonts w:ascii="TitilliumMaps29L 400 wt" w:eastAsia="Arial" w:hAnsi="TitilliumMaps29L 400 wt" w:cs="Arial"/>
          <w:b/>
        </w:rPr>
        <w:t xml:space="preserve">českého vědeckého prostředí. 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</w:rPr>
        <w:t>IAMCR je přední světovou profesní organizací v oblasti výzkumu médií a komunikace. V</w:t>
      </w:r>
      <w:r w:rsidRPr="00EC3F9C">
        <w:rPr>
          <w:rFonts w:ascii="Cambria" w:eastAsia="Arial" w:hAnsi="Cambria" w:cs="Cambria"/>
        </w:rPr>
        <w:t> </w:t>
      </w:r>
      <w:r w:rsidRPr="00EC3F9C">
        <w:rPr>
          <w:rFonts w:ascii="TitilliumMaps29L 400 wt" w:eastAsia="Arial" w:hAnsi="TitilliumMaps29L 400 wt" w:cs="Arial"/>
        </w:rPr>
        <w:t xml:space="preserve">současné době má na dva tisíce aktivních členů. 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  <w:i/>
        </w:rPr>
        <w:t>„Mým cílem je, aby naše asociace rostla, stejně jako celosvě</w:t>
      </w:r>
      <w:r w:rsidRPr="00EC3F9C">
        <w:rPr>
          <w:rFonts w:ascii="TitilliumMaps29L 400 wt" w:eastAsia="Arial" w:hAnsi="TitilliumMaps29L 400 wt" w:cs="Arial"/>
          <w:i/>
        </w:rPr>
        <w:t>tově roste zájem o studium komunikace a médií jako takových. To však při zachování všeho, co je nám drahé, zejména při zachování kritického odstupu, globální perspektivy a našeho závazku k akademické kvalitě,“</w:t>
      </w:r>
      <w:r w:rsidRPr="00EC3F9C">
        <w:rPr>
          <w:rFonts w:ascii="TitilliumMaps29L 400 wt" w:eastAsia="Arial" w:hAnsi="TitilliumMaps29L 400 wt" w:cs="Arial"/>
        </w:rPr>
        <w:t xml:space="preserve"> </w:t>
      </w:r>
      <w:r w:rsidRPr="00EC3F9C">
        <w:rPr>
          <w:rFonts w:ascii="TitilliumMaps29L 400 wt" w:eastAsia="Arial" w:hAnsi="TitilliumMaps29L 400 wt" w:cs="Arial"/>
        </w:rPr>
        <w:t xml:space="preserve">říká ke své volbě profesor </w:t>
      </w:r>
      <w:r w:rsidRPr="00EC3F9C">
        <w:rPr>
          <w:rFonts w:ascii="TitilliumMaps29L 400 wt" w:eastAsia="Arial" w:hAnsi="TitilliumMaps29L 400 wt" w:cs="Arial"/>
          <w:b/>
        </w:rPr>
        <w:t>Nico Carpentier</w:t>
      </w:r>
      <w:r w:rsidRPr="00EC3F9C">
        <w:rPr>
          <w:rFonts w:ascii="TitilliumMaps29L 400 wt" w:eastAsia="Arial" w:hAnsi="TitilliumMaps29L 400 wt" w:cs="Arial"/>
        </w:rPr>
        <w:t>.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</w:rPr>
        <w:t>C</w:t>
      </w:r>
      <w:r w:rsidRPr="00EC3F9C">
        <w:rPr>
          <w:rFonts w:ascii="TitilliumMaps29L 400 wt" w:eastAsia="Arial" w:hAnsi="TitilliumMaps29L 400 wt" w:cs="Arial"/>
        </w:rPr>
        <w:t>arpentier patří mezi světově nejviditelnější odborníky v oblasti komunikace a médií, ale též politiky a kultury.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  <w:i/>
        </w:rPr>
        <w:t xml:space="preserve">„Když se profesor Carpentier před dvěma lety rozhodl přesídlit do Prahy a spojit svou profesní budoucnost s Univerzitou Karlovou, znamenalo to </w:t>
      </w:r>
      <w:r w:rsidRPr="00EC3F9C">
        <w:rPr>
          <w:rFonts w:ascii="TitilliumMaps29L 400 wt" w:eastAsia="Arial" w:hAnsi="TitilliumMaps29L 400 wt" w:cs="Arial"/>
          <w:i/>
        </w:rPr>
        <w:t>pro naše pracoviště přelomový okamžik i velkou výzvu. A také důkaz, že naše univerzita dokázala třiceti let od pádu komunistického režimu, ukončení ideologického pošlapávání společenských věd a jejich umělé izolace bezezbytku využít. A dokázala obnovit svů</w:t>
      </w:r>
      <w:r w:rsidRPr="00EC3F9C">
        <w:rPr>
          <w:rFonts w:ascii="TitilliumMaps29L 400 wt" w:eastAsia="Arial" w:hAnsi="TitilliumMaps29L 400 wt" w:cs="Arial"/>
          <w:i/>
        </w:rPr>
        <w:t xml:space="preserve">j lesk i v očích mezinárodní vědecké komunity. Volbu profesora </w:t>
      </w:r>
      <w:proofErr w:type="spellStart"/>
      <w:r w:rsidRPr="00EC3F9C">
        <w:rPr>
          <w:rFonts w:ascii="TitilliumMaps29L 400 wt" w:eastAsia="Arial" w:hAnsi="TitilliumMaps29L 400 wt" w:cs="Arial"/>
          <w:i/>
        </w:rPr>
        <w:t>Carpentiera</w:t>
      </w:r>
      <w:proofErr w:type="spellEnd"/>
      <w:r w:rsidRPr="00EC3F9C">
        <w:rPr>
          <w:rFonts w:ascii="TitilliumMaps29L 400 wt" w:eastAsia="Arial" w:hAnsi="TitilliumMaps29L 400 wt" w:cs="Arial"/>
          <w:i/>
        </w:rPr>
        <w:t xml:space="preserve"> do čela IAMCR považuji za další z dokladů, že jsme se vrátili mezi nejvýznamnější světová centra vědy a vzdělání. A také za mimořádný závazek </w:t>
      </w:r>
      <w:r w:rsidRPr="00EC3F9C">
        <w:rPr>
          <w:rFonts w:ascii="TitilliumMaps29L 400 wt" w:eastAsia="Arial" w:hAnsi="TitilliumMaps29L 400 wt" w:cs="Arial"/>
          <w:i/>
          <w:color w:val="4D5156"/>
          <w:sz w:val="21"/>
          <w:szCs w:val="21"/>
          <w:highlight w:val="white"/>
        </w:rPr>
        <w:t>–</w:t>
      </w:r>
      <w:r w:rsidRPr="00EC3F9C">
        <w:rPr>
          <w:rFonts w:ascii="TitilliumMaps29L 400 wt" w:eastAsia="Arial" w:hAnsi="TitilliumMaps29L 400 wt" w:cs="Arial"/>
          <w:i/>
        </w:rPr>
        <w:t xml:space="preserve"> protože dobré jméno a důvěra se u zah</w:t>
      </w:r>
      <w:r w:rsidRPr="00EC3F9C">
        <w:rPr>
          <w:rFonts w:ascii="TitilliumMaps29L 400 wt" w:eastAsia="Arial" w:hAnsi="TitilliumMaps29L 400 wt" w:cs="Arial"/>
          <w:i/>
        </w:rPr>
        <w:t xml:space="preserve">raničních partnerů nelehko </w:t>
      </w:r>
      <w:r w:rsidR="00EC3F9C" w:rsidRPr="00EC3F9C">
        <w:rPr>
          <w:rFonts w:ascii="TitilliumMaps29L 400 wt" w:eastAsia="Arial" w:hAnsi="TitilliumMaps29L 400 wt" w:cs="Arial"/>
          <w:i/>
        </w:rPr>
        <w:t>získávají,</w:t>
      </w:r>
      <w:r w:rsidRPr="00EC3F9C">
        <w:rPr>
          <w:rFonts w:ascii="TitilliumMaps29L 400 wt" w:eastAsia="Arial" w:hAnsi="TitilliumMaps29L 400 wt" w:cs="Arial"/>
          <w:i/>
        </w:rPr>
        <w:t xml:space="preserve"> a ještě obtížněji udržují,“ </w:t>
      </w:r>
      <w:r w:rsidRPr="00EC3F9C">
        <w:rPr>
          <w:rFonts w:ascii="TitilliumMaps29L 400 wt" w:eastAsia="Arial" w:hAnsi="TitilliumMaps29L 400 wt" w:cs="Arial"/>
        </w:rPr>
        <w:t xml:space="preserve">uvádí ředitel Institutu komunikačních studií a žurnalistiky </w:t>
      </w:r>
      <w:r w:rsidRPr="00EC3F9C">
        <w:rPr>
          <w:rFonts w:ascii="TitilliumMaps29L 400 wt" w:eastAsia="Arial" w:hAnsi="TitilliumMaps29L 400 wt" w:cs="Arial"/>
          <w:b/>
        </w:rPr>
        <w:t>Jakub Končelík</w:t>
      </w:r>
      <w:r w:rsidRPr="00EC3F9C">
        <w:rPr>
          <w:rFonts w:ascii="TitilliumMaps29L 400 wt" w:eastAsia="Arial" w:hAnsi="TitilliumMaps29L 400 wt" w:cs="Arial"/>
        </w:rPr>
        <w:t>.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bookmarkStart w:id="0" w:name="_gjdgxs" w:colFirst="0" w:colLast="0"/>
      <w:bookmarkEnd w:id="0"/>
      <w:r w:rsidRPr="00EC3F9C">
        <w:rPr>
          <w:rFonts w:ascii="TitilliumMaps29L 400 wt" w:eastAsia="Arial" w:hAnsi="TitilliumMaps29L 400 wt" w:cs="Arial"/>
        </w:rPr>
        <w:t>Nico Carpentier naplno působí na Univerzitě Karlově od počátku roku 2019 jako mimořádný profesor na Institutu komun</w:t>
      </w:r>
      <w:r w:rsidRPr="00EC3F9C">
        <w:rPr>
          <w:rFonts w:ascii="TitilliumMaps29L 400 wt" w:eastAsia="Arial" w:hAnsi="TitilliumMaps29L 400 wt" w:cs="Arial"/>
        </w:rPr>
        <w:t xml:space="preserve">ikačních studií a žurnalistiky FSV UK. Spolupracuje též s </w:t>
      </w:r>
      <w:proofErr w:type="spellStart"/>
      <w:r w:rsidRPr="00EC3F9C">
        <w:rPr>
          <w:rFonts w:ascii="TitilliumMaps29L 400 wt" w:eastAsia="Arial" w:hAnsi="TitilliumMaps29L 400 wt" w:cs="Arial"/>
        </w:rPr>
        <w:t>Vrije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</w:t>
      </w:r>
      <w:proofErr w:type="spellStart"/>
      <w:r w:rsidRPr="00EC3F9C">
        <w:rPr>
          <w:rFonts w:ascii="TitilliumMaps29L 400 wt" w:eastAsia="Arial" w:hAnsi="TitilliumMaps29L 400 wt" w:cs="Arial"/>
        </w:rPr>
        <w:t>Universiteit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</w:t>
      </w:r>
      <w:proofErr w:type="spellStart"/>
      <w:r w:rsidRPr="00EC3F9C">
        <w:rPr>
          <w:rFonts w:ascii="TitilliumMaps29L 400 wt" w:eastAsia="Arial" w:hAnsi="TitilliumMaps29L 400 wt" w:cs="Arial"/>
        </w:rPr>
        <w:t>Brussel</w:t>
      </w:r>
      <w:proofErr w:type="spellEnd"/>
      <w:r w:rsidRPr="00EC3F9C">
        <w:rPr>
          <w:rFonts w:ascii="TitilliumMaps29L 400 wt" w:eastAsia="Arial" w:hAnsi="TitilliumMaps29L 400 wt" w:cs="Arial"/>
        </w:rPr>
        <w:t>, univerzitami v</w:t>
      </w:r>
      <w:r w:rsidRPr="00EC3F9C">
        <w:rPr>
          <w:rFonts w:ascii="Cambria" w:eastAsia="Arial" w:hAnsi="Cambria" w:cs="Cambria"/>
        </w:rPr>
        <w:t> </w:t>
      </w:r>
      <w:r w:rsidRPr="00EC3F9C">
        <w:rPr>
          <w:rFonts w:ascii="TitilliumMaps29L 400 wt" w:eastAsia="Arial" w:hAnsi="TitilliumMaps29L 400 wt" w:cs="Arial"/>
        </w:rPr>
        <w:t xml:space="preserve">Uppsale a </w:t>
      </w:r>
      <w:proofErr w:type="spellStart"/>
      <w:r w:rsidRPr="00EC3F9C">
        <w:rPr>
          <w:rFonts w:ascii="TitilliumMaps29L 400 wt" w:eastAsia="Arial" w:hAnsi="TitilliumMaps29L 400 wt" w:cs="Arial"/>
        </w:rPr>
        <w:t>Loughborough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a </w:t>
      </w:r>
      <w:proofErr w:type="spellStart"/>
      <w:r w:rsidRPr="00EC3F9C">
        <w:rPr>
          <w:rFonts w:ascii="TitilliumMaps29L 400 wt" w:eastAsia="Arial" w:hAnsi="TitilliumMaps29L 400 wt" w:cs="Arial"/>
        </w:rPr>
        <w:t>Cyprus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University </w:t>
      </w:r>
      <w:proofErr w:type="spellStart"/>
      <w:r w:rsidRPr="00EC3F9C">
        <w:rPr>
          <w:rFonts w:ascii="TitilliumMaps29L 400 wt" w:eastAsia="Arial" w:hAnsi="TitilliumMaps29L 400 wt" w:cs="Arial"/>
        </w:rPr>
        <w:t>of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Technology. 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</w:rPr>
        <w:t xml:space="preserve">Kompletní výsledky voleb do výkonného výboru </w:t>
      </w:r>
      <w:r w:rsidRPr="00EC3F9C">
        <w:rPr>
          <w:rFonts w:ascii="TitilliumMaps29L 400 wt" w:eastAsia="Arial" w:hAnsi="TitilliumMaps29L 400 wt" w:cs="Arial"/>
          <w:b/>
        </w:rPr>
        <w:t>Mezinárodní asociace pro výzkum médií a komunikace</w:t>
      </w:r>
      <w:r w:rsidRPr="00EC3F9C">
        <w:rPr>
          <w:rFonts w:ascii="TitilliumMaps29L 400 wt" w:eastAsia="Arial" w:hAnsi="TitilliumMaps29L 400 wt" w:cs="Arial"/>
        </w:rPr>
        <w:t xml:space="preserve"> </w:t>
      </w:r>
      <w:r w:rsidRPr="00EC3F9C">
        <w:rPr>
          <w:rFonts w:ascii="TitilliumMaps29L 400 wt" w:eastAsia="Arial" w:hAnsi="TitilliumMaps29L 400 wt" w:cs="Arial"/>
        </w:rPr>
        <w:t xml:space="preserve">(International </w:t>
      </w:r>
      <w:proofErr w:type="spellStart"/>
      <w:r w:rsidRPr="00EC3F9C">
        <w:rPr>
          <w:rFonts w:ascii="TitilliumMaps29L 400 wt" w:eastAsia="Arial" w:hAnsi="TitilliumMaps29L 400 wt" w:cs="Arial"/>
        </w:rPr>
        <w:t>Association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</w:t>
      </w:r>
      <w:proofErr w:type="spellStart"/>
      <w:r w:rsidRPr="00EC3F9C">
        <w:rPr>
          <w:rFonts w:ascii="TitilliumMaps29L 400 wt" w:eastAsia="Arial" w:hAnsi="TitilliumMaps29L 400 wt" w:cs="Arial"/>
        </w:rPr>
        <w:t>for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Media and </w:t>
      </w:r>
      <w:proofErr w:type="spellStart"/>
      <w:r w:rsidRPr="00EC3F9C">
        <w:rPr>
          <w:rFonts w:ascii="TitilliumMaps29L 400 wt" w:eastAsia="Arial" w:hAnsi="TitilliumMaps29L 400 wt" w:cs="Arial"/>
        </w:rPr>
        <w:t>Communication</w:t>
      </w:r>
      <w:proofErr w:type="spellEnd"/>
      <w:r w:rsidRPr="00EC3F9C">
        <w:rPr>
          <w:rFonts w:ascii="TitilliumMaps29L 400 wt" w:eastAsia="Arial" w:hAnsi="TitilliumMaps29L 400 wt" w:cs="Arial"/>
        </w:rPr>
        <w:t xml:space="preserve"> </w:t>
      </w:r>
      <w:proofErr w:type="spellStart"/>
      <w:r w:rsidRPr="00EC3F9C">
        <w:rPr>
          <w:rFonts w:ascii="TitilliumMaps29L 400 wt" w:eastAsia="Arial" w:hAnsi="TitilliumMaps29L 400 wt" w:cs="Arial"/>
        </w:rPr>
        <w:t>Research</w:t>
      </w:r>
      <w:proofErr w:type="spellEnd"/>
      <w:r w:rsidRPr="00EC3F9C">
        <w:rPr>
          <w:rFonts w:ascii="TitilliumMaps29L 400 wt" w:eastAsia="Arial" w:hAnsi="TitilliumMaps29L 400 wt" w:cs="Arial"/>
        </w:rPr>
        <w:t>) jsou k</w:t>
      </w:r>
      <w:r w:rsidRPr="00EC3F9C">
        <w:rPr>
          <w:rFonts w:ascii="Cambria" w:eastAsia="Arial" w:hAnsi="Cambria" w:cs="Cambria"/>
        </w:rPr>
        <w:t> </w:t>
      </w:r>
      <w:r w:rsidRPr="00EC3F9C">
        <w:rPr>
          <w:rFonts w:ascii="TitilliumMaps29L 400 wt" w:eastAsia="Arial" w:hAnsi="TitilliumMaps29L 400 wt" w:cs="Arial"/>
        </w:rPr>
        <w:t xml:space="preserve">dispozici na </w:t>
      </w:r>
      <w:hyperlink r:id="rId6">
        <w:r w:rsidRPr="00EC3F9C">
          <w:rPr>
            <w:rFonts w:ascii="TitilliumMaps29L 400 wt" w:eastAsia="Arial" w:hAnsi="TitilliumMaps29L 400 wt" w:cs="Arial"/>
            <w:color w:val="000000"/>
            <w:u w:val="single"/>
          </w:rPr>
          <w:t>webu IAMCR</w:t>
        </w:r>
      </w:hyperlink>
      <w:r w:rsidRPr="00EC3F9C">
        <w:rPr>
          <w:rFonts w:ascii="TitilliumMaps29L 400 wt" w:eastAsia="Arial" w:hAnsi="TitilliumMaps29L 400 wt" w:cs="Arial"/>
        </w:rPr>
        <w:t>.</w:t>
      </w:r>
    </w:p>
    <w:p w:rsidR="00856F7C" w:rsidRDefault="00856F7C" w:rsidP="00856F7C">
      <w:pPr>
        <w:rPr>
          <w:rFonts w:ascii="TitilliumMaps29L 400 wt" w:eastAsia="Arial" w:hAnsi="TitilliumMaps29L 400 wt" w:cs="Arial"/>
          <w:b/>
        </w:rPr>
      </w:pPr>
    </w:p>
    <w:p w:rsidR="00856F7C" w:rsidRPr="00A72F2A" w:rsidRDefault="00243AA5" w:rsidP="00856F7C">
      <w:pPr>
        <w:rPr>
          <w:rFonts w:ascii="TitilliumMaps29L 400 wt" w:eastAsia="Arial" w:hAnsi="TitilliumMaps29L 400 wt" w:cs="Arial"/>
          <w:b/>
          <w:color w:val="000000" w:themeColor="text1"/>
        </w:rPr>
      </w:pPr>
      <w:r w:rsidRPr="00A72F2A">
        <w:rPr>
          <w:rFonts w:ascii="TitilliumMaps29L 400 wt" w:eastAsia="Arial" w:hAnsi="TitilliumMaps29L 400 wt" w:cs="Arial"/>
          <w:b/>
          <w:color w:val="000000" w:themeColor="text1"/>
        </w:rPr>
        <w:t>Institut komunikačních studií a žurnalistiky FSV UK</w:t>
      </w:r>
    </w:p>
    <w:p w:rsidR="0070008F" w:rsidRPr="00A72F2A" w:rsidRDefault="00A72F2A" w:rsidP="00856F7C">
      <w:pPr>
        <w:rPr>
          <w:rFonts w:ascii="TitilliumMaps29L 400 wt" w:eastAsia="Arial" w:hAnsi="TitilliumMaps29L 400 wt" w:cs="Arial"/>
          <w:b/>
          <w:color w:val="000000" w:themeColor="text1"/>
        </w:rPr>
      </w:pPr>
      <w:hyperlink r:id="rId7" w:history="1">
        <w:r w:rsidRPr="00A72F2A">
          <w:rPr>
            <w:rStyle w:val="Hypertextovodkaz"/>
            <w:rFonts w:ascii="TitilliumMaps29L 400 wt" w:eastAsia="Arial" w:hAnsi="TitilliumMaps29L 400 wt" w:cs="Arial"/>
            <w:color w:val="000000" w:themeColor="text1"/>
          </w:rPr>
          <w:t>Web</w:t>
        </w:r>
      </w:hyperlink>
      <w:r w:rsidR="00243AA5" w:rsidRPr="00A72F2A">
        <w:rPr>
          <w:rFonts w:ascii="TitilliumMaps29L 400 wt" w:eastAsia="Arial" w:hAnsi="TitilliumMaps29L 400 wt" w:cs="Arial"/>
          <w:color w:val="000000" w:themeColor="text1"/>
        </w:rPr>
        <w:t xml:space="preserve"> </w:t>
      </w:r>
      <w:r w:rsidR="00243AA5" w:rsidRPr="00A72F2A">
        <w:rPr>
          <w:rFonts w:ascii="TitilliumMaps29L 400 wt" w:eastAsia="Arial" w:hAnsi="TitilliumMaps29L 400 wt" w:cs="Arial"/>
          <w:color w:val="000000" w:themeColor="text1"/>
          <w:sz w:val="21"/>
          <w:szCs w:val="21"/>
          <w:highlight w:val="white"/>
        </w:rPr>
        <w:t>|</w:t>
      </w:r>
      <w:r w:rsidR="00243AA5" w:rsidRPr="00A72F2A">
        <w:rPr>
          <w:rFonts w:ascii="TitilliumMaps29L 400 wt" w:eastAsia="Arial" w:hAnsi="TitilliumMaps29L 400 wt" w:cs="Arial"/>
          <w:color w:val="000000" w:themeColor="text1"/>
        </w:rPr>
        <w:t xml:space="preserve"> </w:t>
      </w:r>
      <w:hyperlink r:id="rId8">
        <w:r w:rsidR="00243AA5" w:rsidRPr="00A72F2A">
          <w:rPr>
            <w:rFonts w:ascii="TitilliumMaps29L 400 wt" w:eastAsia="Arial" w:hAnsi="TitilliumMaps29L 400 wt" w:cs="Arial"/>
            <w:color w:val="000000" w:themeColor="text1"/>
            <w:u w:val="single"/>
          </w:rPr>
          <w:t>Facebook</w:t>
        </w:r>
      </w:hyperlink>
      <w:r w:rsidR="00243AA5" w:rsidRPr="00A72F2A">
        <w:rPr>
          <w:rFonts w:ascii="TitilliumMaps29L 400 wt" w:eastAsia="Arial" w:hAnsi="TitilliumMaps29L 400 wt" w:cs="Arial"/>
          <w:color w:val="000000" w:themeColor="text1"/>
        </w:rPr>
        <w:t xml:space="preserve"> </w:t>
      </w:r>
      <w:r w:rsidR="00243AA5" w:rsidRPr="00A72F2A">
        <w:rPr>
          <w:rFonts w:ascii="TitilliumMaps29L 400 wt" w:eastAsia="Arial" w:hAnsi="TitilliumMaps29L 400 wt" w:cs="Arial"/>
          <w:color w:val="000000" w:themeColor="text1"/>
          <w:sz w:val="21"/>
          <w:szCs w:val="21"/>
          <w:highlight w:val="white"/>
        </w:rPr>
        <w:t xml:space="preserve">| </w:t>
      </w:r>
      <w:hyperlink r:id="rId9">
        <w:r w:rsidR="00243AA5" w:rsidRPr="00A72F2A">
          <w:rPr>
            <w:rFonts w:ascii="TitilliumMaps29L 400 wt" w:eastAsia="Arial" w:hAnsi="TitilliumMaps29L 400 wt" w:cs="Arial"/>
            <w:color w:val="000000" w:themeColor="text1"/>
            <w:u w:val="single"/>
          </w:rPr>
          <w:t>Instagra</w:t>
        </w:r>
        <w:r w:rsidR="00243AA5" w:rsidRPr="00A72F2A">
          <w:rPr>
            <w:rFonts w:ascii="TitilliumMaps29L 400 wt" w:eastAsia="Arial" w:hAnsi="TitilliumMaps29L 400 wt" w:cs="Arial"/>
            <w:color w:val="000000" w:themeColor="text1"/>
            <w:u w:val="single"/>
          </w:rPr>
          <w:t>m</w:t>
        </w:r>
      </w:hyperlink>
      <w:r w:rsidR="00243AA5" w:rsidRPr="00A72F2A">
        <w:rPr>
          <w:rFonts w:ascii="TitilliumMaps29L 400 wt" w:eastAsia="Arial" w:hAnsi="TitilliumMaps29L 400 wt" w:cs="Arial"/>
          <w:color w:val="000000" w:themeColor="text1"/>
        </w:rPr>
        <w:t xml:space="preserve"> </w:t>
      </w:r>
      <w:r w:rsidR="00243AA5" w:rsidRPr="00A72F2A">
        <w:rPr>
          <w:rFonts w:ascii="TitilliumMaps29L 400 wt" w:eastAsia="Arial" w:hAnsi="TitilliumMaps29L 400 wt" w:cs="Arial"/>
          <w:color w:val="000000" w:themeColor="text1"/>
          <w:sz w:val="21"/>
          <w:szCs w:val="21"/>
          <w:highlight w:val="white"/>
        </w:rPr>
        <w:t>| #nahollaru</w:t>
      </w:r>
    </w:p>
    <w:p w:rsidR="0070008F" w:rsidRPr="00A72F2A" w:rsidRDefault="00243AA5" w:rsidP="00856F7C">
      <w:pPr>
        <w:rPr>
          <w:rFonts w:ascii="TitilliumMaps29L 400 wt" w:eastAsia="Arial" w:hAnsi="TitilliumMaps29L 400 wt" w:cs="Arial"/>
          <w:color w:val="000000" w:themeColor="text1"/>
        </w:rPr>
      </w:pPr>
      <w:r w:rsidRPr="00A72F2A">
        <w:rPr>
          <w:rFonts w:ascii="TitilliumMaps29L 400 wt" w:eastAsia="Arial" w:hAnsi="TitilliumMaps29L 400 wt" w:cs="Arial"/>
          <w:color w:val="000000" w:themeColor="text1"/>
        </w:rPr>
        <w:t>Kontakt pro média</w:t>
      </w:r>
    </w:p>
    <w:p w:rsidR="0070008F" w:rsidRPr="00EC3F9C" w:rsidRDefault="00243AA5" w:rsidP="00856F7C">
      <w:pPr>
        <w:rPr>
          <w:rFonts w:ascii="TitilliumMaps29L 400 wt" w:eastAsia="Arial" w:hAnsi="TitilliumMaps29L 400 wt" w:cs="Arial"/>
        </w:rPr>
      </w:pPr>
      <w:r w:rsidRPr="00EC3F9C">
        <w:rPr>
          <w:rFonts w:ascii="TitilliumMaps29L 400 wt" w:eastAsia="Arial" w:hAnsi="TitilliumMaps29L 400 wt" w:cs="Arial"/>
        </w:rPr>
        <w:t>Mgr. Tereza Ježková, Ph.D.</w:t>
      </w:r>
      <w:r w:rsidRPr="00EC3F9C">
        <w:rPr>
          <w:rFonts w:ascii="TitilliumMaps29L 400 wt" w:eastAsia="Arial" w:hAnsi="TitilliumMaps29L 400 wt" w:cs="Arial"/>
        </w:rPr>
        <w:br/>
      </w:r>
      <w:hyperlink r:id="rId10">
        <w:r w:rsidRPr="00EC3F9C">
          <w:rPr>
            <w:rFonts w:ascii="TitilliumMaps29L 400 wt" w:eastAsia="Arial" w:hAnsi="TitilliumMaps29L 400 wt" w:cs="Arial"/>
            <w:color w:val="000000"/>
            <w:u w:val="single"/>
          </w:rPr>
          <w:t>tereza.jezkova@fsv.cuni.cz</w:t>
        </w:r>
      </w:hyperlink>
      <w:r w:rsidRPr="00EC3F9C">
        <w:rPr>
          <w:rFonts w:ascii="TitilliumMaps29L 400 wt" w:eastAsia="Arial" w:hAnsi="TitilliumMaps29L 400 wt" w:cs="Arial"/>
        </w:rPr>
        <w:br/>
        <w:t>+420</w:t>
      </w:r>
      <w:r w:rsidRPr="00EC3F9C">
        <w:rPr>
          <w:rFonts w:ascii="Cambria" w:eastAsia="Arial" w:hAnsi="Cambria" w:cs="Cambria"/>
        </w:rPr>
        <w:t> </w:t>
      </w:r>
      <w:r w:rsidRPr="00EC3F9C">
        <w:rPr>
          <w:rFonts w:ascii="TitilliumMaps29L 400 wt" w:eastAsia="Arial" w:hAnsi="TitilliumMaps29L 400 wt" w:cs="Arial"/>
        </w:rPr>
        <w:t>728</w:t>
      </w:r>
      <w:r w:rsidRPr="00EC3F9C">
        <w:rPr>
          <w:rFonts w:ascii="Cambria" w:eastAsia="Arial" w:hAnsi="Cambria" w:cs="Cambria"/>
        </w:rPr>
        <w:t> </w:t>
      </w:r>
      <w:r w:rsidRPr="00EC3F9C">
        <w:rPr>
          <w:rFonts w:ascii="TitilliumMaps29L 400 wt" w:eastAsia="Arial" w:hAnsi="TitilliumMaps29L 400 wt" w:cs="Arial"/>
        </w:rPr>
        <w:t>301 377</w:t>
      </w:r>
    </w:p>
    <w:p w:rsidR="0070008F" w:rsidRPr="00EC3F9C" w:rsidRDefault="0070008F" w:rsidP="00856F7C">
      <w:pPr>
        <w:rPr>
          <w:rFonts w:ascii="TitilliumMaps29L 400 wt" w:eastAsia="Arial" w:hAnsi="TitilliumMaps29L 400 wt" w:cs="Arial"/>
        </w:rPr>
      </w:pPr>
    </w:p>
    <w:sectPr w:rsidR="0070008F" w:rsidRPr="00EC3F9C">
      <w:headerReference w:type="default" r:id="rId11"/>
      <w:pgSz w:w="11906" w:h="16838"/>
      <w:pgMar w:top="3261" w:right="170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AA5" w:rsidRDefault="00243AA5">
      <w:pPr>
        <w:spacing w:after="0" w:line="240" w:lineRule="auto"/>
      </w:pPr>
      <w:r>
        <w:separator/>
      </w:r>
    </w:p>
  </w:endnote>
  <w:endnote w:type="continuationSeparator" w:id="0">
    <w:p w:rsidR="00243AA5" w:rsidRDefault="0024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Maps29L 400 wt">
    <w:panose1 w:val="00000000000000000000"/>
    <w:charset w:val="00"/>
    <w:family w:val="auto"/>
    <w:notTrueType/>
    <w:pitch w:val="variable"/>
    <w:sig w:usb0="A00000EF" w:usb1="0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Maps29L">
    <w:altName w:val="Calibri"/>
    <w:panose1 w:val="000000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AA5" w:rsidRDefault="00243AA5">
      <w:pPr>
        <w:spacing w:after="0" w:line="240" w:lineRule="auto"/>
      </w:pPr>
      <w:r>
        <w:separator/>
      </w:r>
    </w:p>
  </w:footnote>
  <w:footnote w:type="continuationSeparator" w:id="0">
    <w:p w:rsidR="00243AA5" w:rsidRDefault="0024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0008F" w:rsidRDefault="00243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tilliumMaps29L" w:eastAsia="TitilliumMaps29L" w:hAnsi="TitilliumMaps29L" w:cs="TitilliumMaps29L"/>
        <w:noProof/>
        <w:color w:val="000000"/>
      </w:rPr>
      <w:drawing>
        <wp:inline distT="0" distB="0" distL="0" distR="0">
          <wp:extent cx="3070578" cy="965952"/>
          <wp:effectExtent l="0" t="0" r="0" b="0"/>
          <wp:docPr id="1" name="image1.png" descr="C:\Users\JEZKT7AF\AppData\Local\Microsoft\Windows\INetCache\Content.Word\logo iksž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ZKT7AF\AppData\Local\Microsoft\Windows\INetCache\Content.Word\logo iksž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0578" cy="96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8F"/>
    <w:rsid w:val="00053CD6"/>
    <w:rsid w:val="00243AA5"/>
    <w:rsid w:val="0070008F"/>
    <w:rsid w:val="00856F7C"/>
    <w:rsid w:val="00A72F2A"/>
    <w:rsid w:val="00EC3F9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4794B"/>
  <w15:docId w15:val="{10A833B3-6F01-054C-9541-AEEF11E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after="0" w:line="240" w:lineRule="auto"/>
      <w:outlineLvl w:val="0"/>
    </w:pPr>
    <w:rPr>
      <w:rFonts w:ascii="Arial" w:eastAsia="Arial" w:hAnsi="Arial" w:cs="Arial"/>
      <w:color w:val="2F92CC"/>
      <w:sz w:val="88"/>
      <w:szCs w:val="8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 w:line="240" w:lineRule="auto"/>
      <w:outlineLvl w:val="1"/>
    </w:pPr>
    <w:rPr>
      <w:rFonts w:ascii="Arial" w:eastAsia="Arial" w:hAnsi="Arial" w:cs="Arial"/>
      <w:b/>
      <w:color w:val="2F92CC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56F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ksz.fsv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ksz.fsv.cuni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mcr.org/news/election-results-2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ereza.jezkova@fsv.cuni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iksz_fsv_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Ježková</cp:lastModifiedBy>
  <cp:revision>6</cp:revision>
  <dcterms:created xsi:type="dcterms:W3CDTF">2020-06-02T18:13:00Z</dcterms:created>
  <dcterms:modified xsi:type="dcterms:W3CDTF">2020-06-02T18:18:00Z</dcterms:modified>
</cp:coreProperties>
</file>